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39BB" w14:textId="77777777" w:rsidR="00897578" w:rsidRPr="002C0D73" w:rsidRDefault="00897578" w:rsidP="00897578">
      <w:pPr>
        <w:jc w:val="center"/>
        <w:rPr>
          <w:b/>
          <w:sz w:val="36"/>
          <w:szCs w:val="36"/>
        </w:rPr>
      </w:pPr>
      <w:r>
        <w:rPr>
          <w:b/>
          <w:sz w:val="36"/>
          <w:szCs w:val="36"/>
        </w:rPr>
        <w:t>MED3ATB</w:t>
      </w:r>
    </w:p>
    <w:p w14:paraId="1BF5669F" w14:textId="77777777" w:rsidR="00897578" w:rsidRDefault="00363F1E" w:rsidP="00897578">
      <w:pPr>
        <w:jc w:val="center"/>
        <w:rPr>
          <w:b/>
          <w:sz w:val="36"/>
          <w:szCs w:val="36"/>
        </w:rPr>
      </w:pPr>
      <w:r>
        <w:rPr>
          <w:b/>
          <w:sz w:val="36"/>
          <w:szCs w:val="36"/>
        </w:rPr>
        <w:t xml:space="preserve">Cardiomyopathy </w:t>
      </w:r>
      <w:r w:rsidR="00897578" w:rsidRPr="002C0D73">
        <w:rPr>
          <w:b/>
          <w:sz w:val="36"/>
          <w:szCs w:val="36"/>
        </w:rPr>
        <w:t>worksheet</w:t>
      </w:r>
    </w:p>
    <w:p w14:paraId="306E9144" w14:textId="77777777" w:rsidR="00897578" w:rsidRPr="00D2761A" w:rsidRDefault="00897578" w:rsidP="00897578">
      <w:pPr>
        <w:rPr>
          <w:b/>
          <w:sz w:val="24"/>
          <w:szCs w:val="24"/>
        </w:rPr>
      </w:pPr>
      <w:r w:rsidRPr="00D2761A">
        <w:rPr>
          <w:b/>
          <w:sz w:val="24"/>
          <w:szCs w:val="24"/>
        </w:rPr>
        <w:t>Instructions</w:t>
      </w:r>
    </w:p>
    <w:p w14:paraId="1CC7BDB0" w14:textId="77777777" w:rsidR="00897578" w:rsidRDefault="00897578" w:rsidP="00897578">
      <w:r w:rsidRPr="00D2761A">
        <w:t>Fill out the following worksheet while working through the</w:t>
      </w:r>
      <w:r w:rsidRPr="00C51CE8">
        <w:rPr>
          <w:i/>
        </w:rPr>
        <w:t xml:space="preserve"> </w:t>
      </w:r>
      <w:r w:rsidR="00363F1E">
        <w:rPr>
          <w:i/>
        </w:rPr>
        <w:t>Cardiomyopathy</w:t>
      </w:r>
      <w:r>
        <w:rPr>
          <w:i/>
        </w:rPr>
        <w:t xml:space="preserve"> </w:t>
      </w:r>
      <w:r w:rsidRPr="00D2761A">
        <w:t>lesson on LMS. You must write all answers in your own words (paraphrase).</w:t>
      </w:r>
      <w:r>
        <w:t xml:space="preserve"> Do not </w:t>
      </w:r>
      <w:r w:rsidR="004B476E">
        <w:t>plagiarize</w:t>
      </w:r>
      <w:r>
        <w:t xml:space="preserve"> from the text or videos provided!</w:t>
      </w:r>
    </w:p>
    <w:p w14:paraId="35C4D690" w14:textId="77777777" w:rsidR="00897578" w:rsidRPr="00D2761A" w:rsidRDefault="00897578" w:rsidP="00897578">
      <w:r>
        <w:t xml:space="preserve">Bring your worksheet to the workshop. You will be tested on your knowledge of this module in the weekly quiz. </w:t>
      </w:r>
    </w:p>
    <w:p w14:paraId="5B68330B" w14:textId="77777777" w:rsidR="005A23EC" w:rsidRDefault="00521A4F" w:rsidP="00897578">
      <w:pPr>
        <w:pStyle w:val="ListParagraph"/>
        <w:numPr>
          <w:ilvl w:val="0"/>
          <w:numId w:val="1"/>
        </w:numPr>
        <w:rPr>
          <w:b/>
        </w:rPr>
      </w:pPr>
      <w:r>
        <w:t>What are second messengers? Explain the roles of two important second messengers in cardiac contractile function (5-6 sentences).</w:t>
      </w:r>
      <w:r>
        <w:tab/>
      </w:r>
      <w:r>
        <w:tab/>
      </w:r>
      <w:r>
        <w:tab/>
      </w:r>
      <w:r>
        <w:tab/>
      </w:r>
      <w:r>
        <w:tab/>
      </w:r>
      <w:r w:rsidR="00897578" w:rsidRPr="00897578">
        <w:rPr>
          <w:b/>
        </w:rPr>
        <w:t>5 Marks</w:t>
      </w:r>
    </w:p>
    <w:p w14:paraId="477B19F1" w14:textId="77777777" w:rsidR="00521A4F" w:rsidRDefault="00521A4F" w:rsidP="00521A4F">
      <w:pPr>
        <w:pStyle w:val="ListParagraph"/>
      </w:pPr>
    </w:p>
    <w:p w14:paraId="589F106F" w14:textId="77777777" w:rsidR="00521A4F" w:rsidRDefault="00521A4F" w:rsidP="00521A4F">
      <w:pPr>
        <w:pStyle w:val="ListParagraph"/>
      </w:pPr>
    </w:p>
    <w:p w14:paraId="69466304" w14:textId="77777777" w:rsidR="00521A4F" w:rsidRPr="000763C5" w:rsidRDefault="00A61FA9" w:rsidP="00521A4F">
      <w:pPr>
        <w:pStyle w:val="ListParagraph"/>
        <w:rPr>
          <w:color w:val="538135" w:themeColor="accent6" w:themeShade="BF"/>
        </w:rPr>
      </w:pPr>
      <w:r w:rsidRPr="000763C5">
        <w:rPr>
          <w:color w:val="538135" w:themeColor="accent6" w:themeShade="BF"/>
        </w:rPr>
        <w:t>Second messengers are intracellular substances that</w:t>
      </w:r>
      <w:r w:rsidR="00906A29" w:rsidRPr="000763C5">
        <w:rPr>
          <w:color w:val="538135" w:themeColor="accent6" w:themeShade="BF"/>
        </w:rPr>
        <w:t xml:space="preserve"> conduct cell signaling upon being activated by binding of various extracellular molecules including hormones and neurotransmitters to </w:t>
      </w:r>
      <w:r w:rsidR="003855DC" w:rsidRPr="000763C5">
        <w:rPr>
          <w:color w:val="538135" w:themeColor="accent6" w:themeShade="BF"/>
        </w:rPr>
        <w:t xml:space="preserve">their </w:t>
      </w:r>
      <w:r w:rsidR="00906A29" w:rsidRPr="000763C5">
        <w:rPr>
          <w:color w:val="538135" w:themeColor="accent6" w:themeShade="BF"/>
        </w:rPr>
        <w:t xml:space="preserve">cell surface receptors. </w:t>
      </w:r>
    </w:p>
    <w:p w14:paraId="4C51717C" w14:textId="77777777" w:rsidR="004B476E" w:rsidRPr="000763C5" w:rsidRDefault="004B476E" w:rsidP="00521A4F">
      <w:pPr>
        <w:pStyle w:val="ListParagraph"/>
        <w:rPr>
          <w:color w:val="538135" w:themeColor="accent6" w:themeShade="BF"/>
        </w:rPr>
      </w:pPr>
      <w:r w:rsidRPr="000763C5">
        <w:rPr>
          <w:color w:val="538135" w:themeColor="accent6" w:themeShade="BF"/>
        </w:rPr>
        <w:t>Cyclic AMP (cAMP) and Ca</w:t>
      </w:r>
      <w:r w:rsidRPr="000763C5">
        <w:rPr>
          <w:color w:val="538135" w:themeColor="accent6" w:themeShade="BF"/>
          <w:vertAlign w:val="superscript"/>
        </w:rPr>
        <w:t>2+</w:t>
      </w:r>
      <w:r w:rsidRPr="000763C5">
        <w:rPr>
          <w:color w:val="538135" w:themeColor="accent6" w:themeShade="BF"/>
        </w:rPr>
        <w:t xml:space="preserve"> are important second messengers that mediate heart muscle contraction.</w:t>
      </w:r>
    </w:p>
    <w:p w14:paraId="6B7B8480" w14:textId="77777777" w:rsidR="00F41C21" w:rsidRPr="000763C5" w:rsidRDefault="004B476E" w:rsidP="00521A4F">
      <w:pPr>
        <w:pStyle w:val="ListParagraph"/>
        <w:rPr>
          <w:color w:val="538135" w:themeColor="accent6" w:themeShade="BF"/>
        </w:rPr>
      </w:pPr>
      <w:r w:rsidRPr="000763C5">
        <w:rPr>
          <w:color w:val="538135" w:themeColor="accent6" w:themeShade="BF"/>
        </w:rPr>
        <w:t xml:space="preserve">Once activated, cAMP binds to the regulator subunits of </w:t>
      </w:r>
      <w:r w:rsidR="00F41C21" w:rsidRPr="000763C5">
        <w:rPr>
          <w:color w:val="538135" w:themeColor="accent6" w:themeShade="BF"/>
        </w:rPr>
        <w:t xml:space="preserve">inactive </w:t>
      </w:r>
      <w:r w:rsidRPr="000763C5">
        <w:rPr>
          <w:color w:val="538135" w:themeColor="accent6" w:themeShade="BF"/>
        </w:rPr>
        <w:t xml:space="preserve">Protein Kinase A (PKA) </w:t>
      </w:r>
      <w:r w:rsidR="00F41C21" w:rsidRPr="000763C5">
        <w:rPr>
          <w:color w:val="538135" w:themeColor="accent6" w:themeShade="BF"/>
        </w:rPr>
        <w:t xml:space="preserve">and </w:t>
      </w:r>
      <w:r w:rsidRPr="000763C5">
        <w:rPr>
          <w:color w:val="538135" w:themeColor="accent6" w:themeShade="BF"/>
        </w:rPr>
        <w:t>caus</w:t>
      </w:r>
      <w:r w:rsidR="00F41C21" w:rsidRPr="000763C5">
        <w:rPr>
          <w:color w:val="538135" w:themeColor="accent6" w:themeShade="BF"/>
        </w:rPr>
        <w:t>e</w:t>
      </w:r>
      <w:r w:rsidRPr="000763C5">
        <w:rPr>
          <w:color w:val="538135" w:themeColor="accent6" w:themeShade="BF"/>
        </w:rPr>
        <w:t xml:space="preserve"> conformational changes </w:t>
      </w:r>
      <w:r w:rsidR="00F41C21" w:rsidRPr="000763C5">
        <w:rPr>
          <w:color w:val="538135" w:themeColor="accent6" w:themeShade="BF"/>
        </w:rPr>
        <w:t>in them.</w:t>
      </w:r>
    </w:p>
    <w:p w14:paraId="7C971643" w14:textId="77777777" w:rsidR="004B476E" w:rsidRPr="000763C5" w:rsidRDefault="00F41C21" w:rsidP="00521A4F">
      <w:pPr>
        <w:pStyle w:val="ListParagraph"/>
        <w:rPr>
          <w:color w:val="538135" w:themeColor="accent6" w:themeShade="BF"/>
        </w:rPr>
      </w:pPr>
      <w:r w:rsidRPr="000763C5">
        <w:rPr>
          <w:color w:val="538135" w:themeColor="accent6" w:themeShade="BF"/>
        </w:rPr>
        <w:t>Consequently, the</w:t>
      </w:r>
      <w:r w:rsidR="004B476E" w:rsidRPr="000763C5">
        <w:rPr>
          <w:color w:val="538135" w:themeColor="accent6" w:themeShade="BF"/>
        </w:rPr>
        <w:t xml:space="preserve"> catalytic subunits </w:t>
      </w:r>
      <w:r w:rsidRPr="000763C5">
        <w:rPr>
          <w:color w:val="538135" w:themeColor="accent6" w:themeShade="BF"/>
        </w:rPr>
        <w:t xml:space="preserve">of PKA get dissociated </w:t>
      </w:r>
      <w:r w:rsidR="00C53C16" w:rsidRPr="000763C5">
        <w:rPr>
          <w:color w:val="538135" w:themeColor="accent6" w:themeShade="BF"/>
        </w:rPr>
        <w:t xml:space="preserve">from the PKA tetramer </w:t>
      </w:r>
      <w:r w:rsidRPr="000763C5">
        <w:rPr>
          <w:color w:val="538135" w:themeColor="accent6" w:themeShade="BF"/>
        </w:rPr>
        <w:t xml:space="preserve">and thereby </w:t>
      </w:r>
      <w:r w:rsidR="00C53C16" w:rsidRPr="000763C5">
        <w:rPr>
          <w:color w:val="538135" w:themeColor="accent6" w:themeShade="BF"/>
        </w:rPr>
        <w:t xml:space="preserve">get </w:t>
      </w:r>
      <w:r w:rsidRPr="000763C5">
        <w:rPr>
          <w:color w:val="538135" w:themeColor="accent6" w:themeShade="BF"/>
        </w:rPr>
        <w:t>activated.</w:t>
      </w:r>
    </w:p>
    <w:p w14:paraId="4B3DFA9B" w14:textId="77777777" w:rsidR="00C53C16" w:rsidRPr="000763C5" w:rsidRDefault="00C53C16" w:rsidP="00521A4F">
      <w:pPr>
        <w:pStyle w:val="ListParagraph"/>
        <w:rPr>
          <w:color w:val="538135" w:themeColor="accent6" w:themeShade="BF"/>
        </w:rPr>
      </w:pPr>
      <w:r w:rsidRPr="000763C5">
        <w:rPr>
          <w:color w:val="538135" w:themeColor="accent6" w:themeShade="BF"/>
        </w:rPr>
        <w:t>Activated catalytic PKA subunits then bind to the cell surface Ca</w:t>
      </w:r>
      <w:r w:rsidRPr="000763C5">
        <w:rPr>
          <w:color w:val="538135" w:themeColor="accent6" w:themeShade="BF"/>
          <w:vertAlign w:val="superscript"/>
        </w:rPr>
        <w:t>2+</w:t>
      </w:r>
      <w:r w:rsidRPr="000763C5">
        <w:rPr>
          <w:color w:val="538135" w:themeColor="accent6" w:themeShade="BF"/>
        </w:rPr>
        <w:t xml:space="preserve"> channels and promote Ca2+ influx which essentially drives the regulation of heart muscle contractions.</w:t>
      </w:r>
    </w:p>
    <w:p w14:paraId="23C3E64D" w14:textId="77777777" w:rsidR="00F41C21" w:rsidRDefault="00F41C21" w:rsidP="00521A4F">
      <w:pPr>
        <w:pStyle w:val="ListParagraph"/>
      </w:pPr>
    </w:p>
    <w:p w14:paraId="2D66D138" w14:textId="77777777" w:rsidR="00F41C21" w:rsidRDefault="00F41C21" w:rsidP="00521A4F">
      <w:pPr>
        <w:pStyle w:val="ListParagraph"/>
      </w:pPr>
    </w:p>
    <w:p w14:paraId="5C75227D" w14:textId="77777777" w:rsidR="00F41C21" w:rsidRDefault="00F41C21" w:rsidP="00521A4F">
      <w:pPr>
        <w:pStyle w:val="ListParagraph"/>
      </w:pPr>
    </w:p>
    <w:p w14:paraId="14B90AC0" w14:textId="77777777" w:rsidR="00897578" w:rsidRDefault="00897578" w:rsidP="00897578"/>
    <w:p w14:paraId="19DE2C76" w14:textId="77777777" w:rsidR="00897578" w:rsidRPr="00897578" w:rsidRDefault="00521A4F" w:rsidP="00897578">
      <w:pPr>
        <w:pStyle w:val="ListParagraph"/>
        <w:numPr>
          <w:ilvl w:val="0"/>
          <w:numId w:val="1"/>
        </w:numPr>
        <w:rPr>
          <w:b/>
        </w:rPr>
      </w:pPr>
      <w:r>
        <w:t>Catecholamine signalling can have different effect in different tissues, explain (4-5 sentences)</w:t>
      </w:r>
      <w:r w:rsidR="00897578">
        <w:tab/>
      </w:r>
      <w:r w:rsidR="00897578">
        <w:tab/>
      </w:r>
      <w:r w:rsidR="00897578">
        <w:tab/>
      </w:r>
      <w:r w:rsidR="00897578">
        <w:tab/>
      </w:r>
      <w:r w:rsidR="00897578">
        <w:tab/>
      </w:r>
      <w:r w:rsidR="00897578">
        <w:tab/>
      </w:r>
      <w:r w:rsidR="00897578">
        <w:tab/>
      </w:r>
      <w:r>
        <w:tab/>
      </w:r>
      <w:r w:rsidR="00897578" w:rsidRPr="00897578">
        <w:rPr>
          <w:b/>
        </w:rPr>
        <w:t>5 Marks</w:t>
      </w:r>
    </w:p>
    <w:p w14:paraId="7B5C73FE" w14:textId="77777777" w:rsidR="000763C5" w:rsidRDefault="000763C5" w:rsidP="000763C5">
      <w:pPr>
        <w:pStyle w:val="ListParagraph"/>
        <w:rPr>
          <w:color w:val="538135" w:themeColor="accent6" w:themeShade="BF"/>
        </w:rPr>
      </w:pPr>
    </w:p>
    <w:p w14:paraId="24DAE244" w14:textId="77777777" w:rsidR="000763C5" w:rsidRPr="000763C5" w:rsidRDefault="00C53C16" w:rsidP="000763C5">
      <w:pPr>
        <w:pStyle w:val="ListParagraph"/>
        <w:rPr>
          <w:color w:val="538135" w:themeColor="accent6" w:themeShade="BF"/>
        </w:rPr>
      </w:pPr>
      <w:r w:rsidRPr="000763C5">
        <w:rPr>
          <w:color w:val="538135" w:themeColor="accent6" w:themeShade="BF"/>
        </w:rPr>
        <w:t xml:space="preserve">Catecholamines such as adrenaline and noradrenaline can have different effects </w:t>
      </w:r>
      <w:r w:rsidR="00696F33" w:rsidRPr="000763C5">
        <w:rPr>
          <w:color w:val="538135" w:themeColor="accent6" w:themeShade="BF"/>
        </w:rPr>
        <w:t>on</w:t>
      </w:r>
      <w:r w:rsidRPr="000763C5">
        <w:rPr>
          <w:color w:val="538135" w:themeColor="accent6" w:themeShade="BF"/>
        </w:rPr>
        <w:t xml:space="preserve"> different tissues depending on the type of </w:t>
      </w:r>
      <w:proofErr w:type="gramStart"/>
      <w:r w:rsidRPr="000763C5">
        <w:rPr>
          <w:color w:val="538135" w:themeColor="accent6" w:themeShade="BF"/>
        </w:rPr>
        <w:t>receptors</w:t>
      </w:r>
      <w:proofErr w:type="gramEnd"/>
      <w:r w:rsidRPr="000763C5">
        <w:rPr>
          <w:color w:val="538135" w:themeColor="accent6" w:themeShade="BF"/>
        </w:rPr>
        <w:t xml:space="preserve"> </w:t>
      </w:r>
      <w:r w:rsidR="00696F33" w:rsidRPr="000763C5">
        <w:rPr>
          <w:color w:val="538135" w:themeColor="accent6" w:themeShade="BF"/>
        </w:rPr>
        <w:t xml:space="preserve">they </w:t>
      </w:r>
      <w:r w:rsidR="00A35C5F" w:rsidRPr="000763C5">
        <w:rPr>
          <w:color w:val="538135" w:themeColor="accent6" w:themeShade="BF"/>
        </w:rPr>
        <w:t>interact with</w:t>
      </w:r>
      <w:r w:rsidR="00696F33" w:rsidRPr="000763C5">
        <w:rPr>
          <w:color w:val="538135" w:themeColor="accent6" w:themeShade="BF"/>
        </w:rPr>
        <w:t xml:space="preserve"> on the tissue</w:t>
      </w:r>
      <w:r w:rsidR="00A35C5F" w:rsidRPr="000763C5">
        <w:rPr>
          <w:color w:val="538135" w:themeColor="accent6" w:themeShade="BF"/>
        </w:rPr>
        <w:t xml:space="preserve"> surface</w:t>
      </w:r>
      <w:r w:rsidR="00696F33" w:rsidRPr="000763C5">
        <w:rPr>
          <w:color w:val="538135" w:themeColor="accent6" w:themeShade="BF"/>
        </w:rPr>
        <w:t xml:space="preserve"> and the different downstream signaling pathways that get activated as a result.</w:t>
      </w:r>
      <w:r w:rsidR="00A35C5F" w:rsidRPr="000763C5">
        <w:rPr>
          <w:color w:val="538135" w:themeColor="accent6" w:themeShade="BF"/>
        </w:rPr>
        <w:t xml:space="preserve"> </w:t>
      </w:r>
    </w:p>
    <w:p w14:paraId="7C272271" w14:textId="77777777" w:rsidR="000763C5" w:rsidRPr="000763C5" w:rsidRDefault="00A35C5F" w:rsidP="000763C5">
      <w:pPr>
        <w:pStyle w:val="ListParagraph"/>
        <w:rPr>
          <w:color w:val="538135" w:themeColor="accent6" w:themeShade="BF"/>
        </w:rPr>
      </w:pPr>
      <w:r w:rsidRPr="000763C5">
        <w:rPr>
          <w:color w:val="538135" w:themeColor="accent6" w:themeShade="BF"/>
        </w:rPr>
        <w:t>When catecholamines bind to different receptor classes, depending on the combination of transducers, second messengers and effector molecules that get activated</w:t>
      </w:r>
      <w:r w:rsidR="0065664F" w:rsidRPr="000763C5">
        <w:rPr>
          <w:color w:val="538135" w:themeColor="accent6" w:themeShade="BF"/>
        </w:rPr>
        <w:t xml:space="preserve"> in the </w:t>
      </w:r>
      <w:proofErr w:type="gramStart"/>
      <w:r w:rsidR="0065664F" w:rsidRPr="000763C5">
        <w:rPr>
          <w:color w:val="538135" w:themeColor="accent6" w:themeShade="BF"/>
        </w:rPr>
        <w:t>particular downstream</w:t>
      </w:r>
      <w:proofErr w:type="gramEnd"/>
      <w:r w:rsidR="0065664F" w:rsidRPr="000763C5">
        <w:rPr>
          <w:color w:val="538135" w:themeColor="accent6" w:themeShade="BF"/>
        </w:rPr>
        <w:t xml:space="preserve"> signaling pathway</w:t>
      </w:r>
      <w:r w:rsidRPr="000763C5">
        <w:rPr>
          <w:color w:val="538135" w:themeColor="accent6" w:themeShade="BF"/>
        </w:rPr>
        <w:t xml:space="preserve">, the </w:t>
      </w:r>
      <w:r w:rsidR="0065664F" w:rsidRPr="000763C5">
        <w:rPr>
          <w:color w:val="538135" w:themeColor="accent6" w:themeShade="BF"/>
        </w:rPr>
        <w:t xml:space="preserve">cellular </w:t>
      </w:r>
      <w:r w:rsidRPr="000763C5">
        <w:rPr>
          <w:color w:val="538135" w:themeColor="accent6" w:themeShade="BF"/>
        </w:rPr>
        <w:t xml:space="preserve">response may vary. </w:t>
      </w:r>
    </w:p>
    <w:p w14:paraId="04613DCB" w14:textId="77777777" w:rsidR="000763C5" w:rsidRPr="000763C5" w:rsidRDefault="0065664F" w:rsidP="000763C5">
      <w:pPr>
        <w:pStyle w:val="ListParagraph"/>
        <w:rPr>
          <w:color w:val="538135" w:themeColor="accent6" w:themeShade="BF"/>
        </w:rPr>
      </w:pPr>
      <w:r w:rsidRPr="000763C5">
        <w:rPr>
          <w:color w:val="538135" w:themeColor="accent6" w:themeShade="BF"/>
        </w:rPr>
        <w:t xml:space="preserve">For example, binding of adrenaline to </w:t>
      </w:r>
      <w:r w:rsidRPr="000763C5">
        <w:rPr>
          <w:color w:val="538135" w:themeColor="accent6" w:themeShade="BF"/>
        </w:rPr>
        <w:t>β</w:t>
      </w:r>
      <w:r w:rsidRPr="000763C5">
        <w:rPr>
          <w:color w:val="538135" w:themeColor="accent6" w:themeShade="BF"/>
          <w:vertAlign w:val="subscript"/>
        </w:rPr>
        <w:t>1</w:t>
      </w:r>
      <w:r w:rsidRPr="000763C5">
        <w:rPr>
          <w:color w:val="538135" w:themeColor="accent6" w:themeShade="BF"/>
          <w:vertAlign w:val="subscript"/>
        </w:rPr>
        <w:t xml:space="preserve"> </w:t>
      </w:r>
      <w:r w:rsidRPr="000763C5">
        <w:rPr>
          <w:color w:val="538135" w:themeColor="accent6" w:themeShade="BF"/>
        </w:rPr>
        <w:t>adrenergic receptors on the myocardium surface leads to a Ca</w:t>
      </w:r>
      <w:r w:rsidRPr="000763C5">
        <w:rPr>
          <w:color w:val="538135" w:themeColor="accent6" w:themeShade="BF"/>
          <w:vertAlign w:val="superscript"/>
        </w:rPr>
        <w:t>2+</w:t>
      </w:r>
      <w:r w:rsidRPr="000763C5">
        <w:rPr>
          <w:color w:val="538135" w:themeColor="accent6" w:themeShade="BF"/>
        </w:rPr>
        <w:t xml:space="preserve"> influx and therefore, increased contractility</w:t>
      </w:r>
      <w:r w:rsidR="000763C5" w:rsidRPr="000763C5">
        <w:rPr>
          <w:color w:val="538135" w:themeColor="accent6" w:themeShade="BF"/>
        </w:rPr>
        <w:t xml:space="preserve">. </w:t>
      </w:r>
    </w:p>
    <w:p w14:paraId="218C4839" w14:textId="77777777" w:rsidR="00897578" w:rsidRPr="000763C5" w:rsidRDefault="000763C5" w:rsidP="000763C5">
      <w:pPr>
        <w:pStyle w:val="ListParagraph"/>
        <w:rPr>
          <w:color w:val="538135" w:themeColor="accent6" w:themeShade="BF"/>
        </w:rPr>
      </w:pPr>
      <w:r w:rsidRPr="000763C5">
        <w:rPr>
          <w:color w:val="538135" w:themeColor="accent6" w:themeShade="BF"/>
        </w:rPr>
        <w:t xml:space="preserve">However, </w:t>
      </w:r>
      <w:r w:rsidR="0065664F" w:rsidRPr="000763C5">
        <w:rPr>
          <w:color w:val="538135" w:themeColor="accent6" w:themeShade="BF"/>
        </w:rPr>
        <w:t xml:space="preserve">binding of adrenaline to the cell surface </w:t>
      </w:r>
      <w:r w:rsidR="0065664F" w:rsidRPr="000763C5">
        <w:rPr>
          <w:color w:val="538135" w:themeColor="accent6" w:themeShade="BF"/>
        </w:rPr>
        <w:t>β</w:t>
      </w:r>
      <w:r w:rsidR="0065664F" w:rsidRPr="000763C5">
        <w:rPr>
          <w:color w:val="538135" w:themeColor="accent6" w:themeShade="BF"/>
          <w:vertAlign w:val="subscript"/>
        </w:rPr>
        <w:t>2</w:t>
      </w:r>
      <w:r w:rsidR="0065664F" w:rsidRPr="000763C5">
        <w:rPr>
          <w:color w:val="538135" w:themeColor="accent6" w:themeShade="BF"/>
        </w:rPr>
        <w:t xml:space="preserve"> adrenergic receptors on bronchioles lead to the desensitization of </w:t>
      </w:r>
      <w:r w:rsidRPr="000763C5">
        <w:rPr>
          <w:color w:val="538135" w:themeColor="accent6" w:themeShade="BF"/>
        </w:rPr>
        <w:t>those</w:t>
      </w:r>
      <w:r w:rsidR="0065664F" w:rsidRPr="000763C5">
        <w:rPr>
          <w:color w:val="538135" w:themeColor="accent6" w:themeShade="BF"/>
        </w:rPr>
        <w:t xml:space="preserve"> cells to Ca</w:t>
      </w:r>
      <w:r w:rsidR="0065664F" w:rsidRPr="000763C5">
        <w:rPr>
          <w:color w:val="538135" w:themeColor="accent6" w:themeShade="BF"/>
          <w:vertAlign w:val="superscript"/>
        </w:rPr>
        <w:t>2+</w:t>
      </w:r>
      <w:r w:rsidR="0065664F" w:rsidRPr="000763C5">
        <w:rPr>
          <w:color w:val="538135" w:themeColor="accent6" w:themeShade="BF"/>
        </w:rPr>
        <w:t xml:space="preserve"> </w:t>
      </w:r>
      <w:r w:rsidRPr="000763C5">
        <w:rPr>
          <w:color w:val="538135" w:themeColor="accent6" w:themeShade="BF"/>
        </w:rPr>
        <w:t xml:space="preserve">causing them to relax (dilate). </w:t>
      </w:r>
    </w:p>
    <w:p w14:paraId="1DBB8462" w14:textId="77777777" w:rsidR="00A35C5F" w:rsidRDefault="00A35C5F" w:rsidP="00897578"/>
    <w:p w14:paraId="3DD256A1" w14:textId="77777777" w:rsidR="00521A4F" w:rsidRDefault="00521A4F" w:rsidP="000763C5"/>
    <w:p w14:paraId="49522CB7" w14:textId="77777777" w:rsidR="00521A4F" w:rsidRDefault="00521A4F" w:rsidP="00521A4F">
      <w:pPr>
        <w:pStyle w:val="ListParagraph"/>
      </w:pPr>
    </w:p>
    <w:p w14:paraId="708A343B" w14:textId="77777777" w:rsidR="00521A4F" w:rsidRDefault="00521A4F" w:rsidP="00521A4F">
      <w:pPr>
        <w:pStyle w:val="ListParagraph"/>
      </w:pPr>
    </w:p>
    <w:p w14:paraId="0102ADC7" w14:textId="77777777" w:rsidR="00897578" w:rsidRPr="00897578" w:rsidRDefault="00897578" w:rsidP="00521A4F">
      <w:pPr>
        <w:pStyle w:val="ListParagraph"/>
        <w:numPr>
          <w:ilvl w:val="0"/>
          <w:numId w:val="1"/>
        </w:numPr>
        <w:rPr>
          <w:b/>
        </w:rPr>
      </w:pPr>
      <w:r>
        <w:t xml:space="preserve">Explain </w:t>
      </w:r>
      <w:r w:rsidR="00521A4F">
        <w:t>how cyclic AMP leads to PKA activation (3 sentences).</w:t>
      </w:r>
      <w:r w:rsidR="00521A4F">
        <w:tab/>
      </w:r>
      <w:r w:rsidR="00521A4F">
        <w:tab/>
      </w:r>
      <w:r w:rsidR="00521A4F">
        <w:tab/>
      </w:r>
      <w:r w:rsidR="00521A4F" w:rsidRPr="00521A4F">
        <w:rPr>
          <w:b/>
        </w:rPr>
        <w:t>3</w:t>
      </w:r>
      <w:r w:rsidRPr="00897578">
        <w:rPr>
          <w:b/>
        </w:rPr>
        <w:t xml:space="preserve"> Marks</w:t>
      </w:r>
    </w:p>
    <w:p w14:paraId="5ED165F6" w14:textId="77777777" w:rsidR="00897578" w:rsidRDefault="00897578" w:rsidP="00897578">
      <w:pPr>
        <w:pStyle w:val="ListParagraph"/>
      </w:pPr>
    </w:p>
    <w:p w14:paraId="224170D4" w14:textId="77777777" w:rsidR="005F2644" w:rsidRPr="000763C5" w:rsidRDefault="00001EDD" w:rsidP="00897578">
      <w:pPr>
        <w:pStyle w:val="ListParagraph"/>
        <w:rPr>
          <w:color w:val="538135" w:themeColor="accent6" w:themeShade="BF"/>
        </w:rPr>
      </w:pPr>
      <w:r w:rsidRPr="000763C5">
        <w:rPr>
          <w:color w:val="538135" w:themeColor="accent6" w:themeShade="BF"/>
        </w:rPr>
        <w:t>Inactive p</w:t>
      </w:r>
      <w:r w:rsidR="003855DC" w:rsidRPr="000763C5">
        <w:rPr>
          <w:color w:val="538135" w:themeColor="accent6" w:themeShade="BF"/>
        </w:rPr>
        <w:t xml:space="preserve">rotein Kinase A (PKA) is a </w:t>
      </w:r>
      <w:proofErr w:type="spellStart"/>
      <w:r w:rsidR="003855DC" w:rsidRPr="000763C5">
        <w:rPr>
          <w:color w:val="538135" w:themeColor="accent6" w:themeShade="BF"/>
        </w:rPr>
        <w:t>heterotetramer</w:t>
      </w:r>
      <w:proofErr w:type="spellEnd"/>
      <w:r w:rsidR="003855DC" w:rsidRPr="000763C5">
        <w:rPr>
          <w:color w:val="538135" w:themeColor="accent6" w:themeShade="BF"/>
        </w:rPr>
        <w:t xml:space="preserve"> made up of </w:t>
      </w:r>
      <w:r w:rsidRPr="000763C5">
        <w:rPr>
          <w:color w:val="538135" w:themeColor="accent6" w:themeShade="BF"/>
        </w:rPr>
        <w:t>two regulatory subunits and two catalytic subunits. Upon activation, cyclic AMP binds to the regulatory subunits of PKA and cause a conformational change in them that leads to the dissociation of the catalytic subunits. Released catalytic subunits are active and therefore, can enable their kinase activity by phosphorylating downstream proteins.</w:t>
      </w:r>
    </w:p>
    <w:p w14:paraId="43922784" w14:textId="77777777" w:rsidR="005F2644" w:rsidRDefault="005F2644" w:rsidP="00897578">
      <w:pPr>
        <w:pStyle w:val="ListParagraph"/>
      </w:pPr>
    </w:p>
    <w:p w14:paraId="5902DD20" w14:textId="77777777" w:rsidR="005F2644" w:rsidRDefault="005F2644" w:rsidP="00897578">
      <w:pPr>
        <w:pStyle w:val="ListParagraph"/>
      </w:pPr>
    </w:p>
    <w:p w14:paraId="5DE9FD39" w14:textId="77777777" w:rsidR="005F2644" w:rsidRDefault="005F2644" w:rsidP="00897578">
      <w:pPr>
        <w:pStyle w:val="ListParagraph"/>
      </w:pPr>
    </w:p>
    <w:p w14:paraId="74A4636C" w14:textId="77777777" w:rsidR="005F2644" w:rsidRDefault="005F2644" w:rsidP="00897578">
      <w:pPr>
        <w:pStyle w:val="ListParagraph"/>
      </w:pPr>
    </w:p>
    <w:p w14:paraId="61871FC4" w14:textId="77777777" w:rsidR="005F2644" w:rsidRDefault="005F2644" w:rsidP="00897578">
      <w:pPr>
        <w:pStyle w:val="ListParagraph"/>
      </w:pPr>
    </w:p>
    <w:p w14:paraId="17DA9406" w14:textId="77777777" w:rsidR="005F2644" w:rsidRDefault="005F2644" w:rsidP="00897578">
      <w:pPr>
        <w:pStyle w:val="ListParagraph"/>
      </w:pPr>
    </w:p>
    <w:p w14:paraId="376D5A49" w14:textId="77777777" w:rsidR="005F2644" w:rsidRDefault="005F2644" w:rsidP="00897578">
      <w:pPr>
        <w:pStyle w:val="ListParagraph"/>
      </w:pPr>
    </w:p>
    <w:p w14:paraId="792D6D85" w14:textId="77777777" w:rsidR="005F2644" w:rsidRDefault="005F2644" w:rsidP="00897578">
      <w:pPr>
        <w:pStyle w:val="ListParagraph"/>
      </w:pPr>
    </w:p>
    <w:p w14:paraId="5ECF80B3" w14:textId="77777777" w:rsidR="005F2644" w:rsidRDefault="005F2644" w:rsidP="00897578">
      <w:pPr>
        <w:pStyle w:val="ListParagraph"/>
      </w:pPr>
    </w:p>
    <w:p w14:paraId="598936C1" w14:textId="77777777" w:rsidR="005F2644" w:rsidRDefault="005F2644" w:rsidP="00897578">
      <w:pPr>
        <w:pStyle w:val="ListParagraph"/>
      </w:pPr>
    </w:p>
    <w:p w14:paraId="00068141" w14:textId="77777777" w:rsidR="005F2644" w:rsidRDefault="005F2644" w:rsidP="00897578">
      <w:pPr>
        <w:pStyle w:val="ListParagraph"/>
      </w:pPr>
    </w:p>
    <w:p w14:paraId="149946C0" w14:textId="77777777" w:rsidR="005F2644" w:rsidRPr="005F2644" w:rsidRDefault="005F2644" w:rsidP="005F2644">
      <w:pPr>
        <w:pStyle w:val="ListParagraph"/>
        <w:numPr>
          <w:ilvl w:val="0"/>
          <w:numId w:val="1"/>
        </w:numPr>
      </w:pPr>
      <w:r>
        <w:t xml:space="preserve">Explain different ways of regulating </w:t>
      </w:r>
      <w:r w:rsidRPr="005F2644">
        <w:rPr>
          <w:rFonts w:ascii="Symbol" w:hAnsi="Symbol"/>
        </w:rPr>
        <w:t></w:t>
      </w:r>
      <w:r>
        <w:t xml:space="preserve">AR </w:t>
      </w:r>
      <w:proofErr w:type="spellStart"/>
      <w:r>
        <w:t>signalling</w:t>
      </w:r>
      <w:proofErr w:type="spellEnd"/>
      <w:r>
        <w:t xml:space="preserve"> (5 </w:t>
      </w:r>
      <w:r w:rsidR="00C53C16">
        <w:t>sentences</w:t>
      </w:r>
      <w:r>
        <w:t>)</w:t>
      </w:r>
      <w:r>
        <w:tab/>
      </w:r>
      <w:r>
        <w:tab/>
      </w:r>
      <w:r>
        <w:tab/>
      </w:r>
      <w:r w:rsidRPr="005F2644">
        <w:rPr>
          <w:b/>
        </w:rPr>
        <w:t>5 Marks</w:t>
      </w:r>
    </w:p>
    <w:p w14:paraId="573BE6B4" w14:textId="77777777" w:rsidR="003E4B23" w:rsidRPr="003E4B23" w:rsidRDefault="003E4B23" w:rsidP="003E4B23">
      <w:pPr>
        <w:pStyle w:val="ListParagraph"/>
      </w:pPr>
    </w:p>
    <w:p w14:paraId="300E5C4E" w14:textId="77777777" w:rsidR="001372B4" w:rsidRPr="003E4B23" w:rsidRDefault="001372B4" w:rsidP="001372B4">
      <w:pPr>
        <w:pStyle w:val="ListParagraph"/>
        <w:numPr>
          <w:ilvl w:val="0"/>
          <w:numId w:val="6"/>
        </w:numPr>
        <w:rPr>
          <w:color w:val="538135" w:themeColor="accent6" w:themeShade="BF"/>
        </w:rPr>
      </w:pPr>
      <w:proofErr w:type="spellStart"/>
      <w:r w:rsidRPr="003E4B23">
        <w:rPr>
          <w:color w:val="538135" w:themeColor="accent6" w:themeShade="BF"/>
        </w:rPr>
        <w:t>Phosphodiesterases</w:t>
      </w:r>
      <w:proofErr w:type="spellEnd"/>
      <w:r w:rsidRPr="003E4B23">
        <w:rPr>
          <w:color w:val="538135" w:themeColor="accent6" w:themeShade="BF"/>
        </w:rPr>
        <w:t xml:space="preserve"> hydrolyze cAMP and lead to its inactivation by converting it to a different molecule. </w:t>
      </w:r>
    </w:p>
    <w:p w14:paraId="31F7E697" w14:textId="77777777" w:rsidR="005F2644" w:rsidRPr="003E4B23" w:rsidRDefault="001372B4" w:rsidP="001372B4">
      <w:pPr>
        <w:pStyle w:val="ListParagraph"/>
        <w:numPr>
          <w:ilvl w:val="0"/>
          <w:numId w:val="6"/>
        </w:numPr>
        <w:rPr>
          <w:color w:val="538135" w:themeColor="accent6" w:themeShade="BF"/>
        </w:rPr>
      </w:pPr>
      <w:r w:rsidRPr="003E4B23">
        <w:rPr>
          <w:color w:val="538135" w:themeColor="accent6" w:themeShade="BF"/>
        </w:rPr>
        <w:t xml:space="preserve"> Phosphorylated downstream protein targets of Ser/</w:t>
      </w:r>
      <w:proofErr w:type="spellStart"/>
      <w:r w:rsidRPr="003E4B23">
        <w:rPr>
          <w:color w:val="538135" w:themeColor="accent6" w:themeShade="BF"/>
        </w:rPr>
        <w:t>Thr</w:t>
      </w:r>
      <w:proofErr w:type="spellEnd"/>
      <w:r w:rsidRPr="003E4B23">
        <w:rPr>
          <w:color w:val="538135" w:themeColor="accent6" w:themeShade="BF"/>
        </w:rPr>
        <w:t xml:space="preserve"> kinase, PKA, get dephosphorylated by Ser/</w:t>
      </w:r>
      <w:proofErr w:type="spellStart"/>
      <w:r w:rsidRPr="003E4B23">
        <w:rPr>
          <w:color w:val="538135" w:themeColor="accent6" w:themeShade="BF"/>
        </w:rPr>
        <w:t>Thr</w:t>
      </w:r>
      <w:proofErr w:type="spellEnd"/>
      <w:r w:rsidRPr="003E4B23">
        <w:rPr>
          <w:color w:val="538135" w:themeColor="accent6" w:themeShade="BF"/>
        </w:rPr>
        <w:t xml:space="preserve"> phosphatases and inhibit downstream signaling pathways. </w:t>
      </w:r>
    </w:p>
    <w:p w14:paraId="0E5608EC" w14:textId="77777777" w:rsidR="001372B4" w:rsidRPr="003E4B23" w:rsidRDefault="009A0B45" w:rsidP="001372B4">
      <w:pPr>
        <w:pStyle w:val="ListParagraph"/>
        <w:numPr>
          <w:ilvl w:val="0"/>
          <w:numId w:val="6"/>
        </w:numPr>
        <w:rPr>
          <w:color w:val="538135" w:themeColor="accent6" w:themeShade="BF"/>
        </w:rPr>
      </w:pPr>
      <w:r w:rsidRPr="003E4B23">
        <w:rPr>
          <w:color w:val="538135" w:themeColor="accent6" w:themeShade="BF"/>
        </w:rPr>
        <w:t xml:space="preserve">Binding of G-protein to activated G-protein coupled receptor (GPCR) can be inhibited by </w:t>
      </w:r>
      <w:r w:rsidRPr="003E4B23">
        <w:rPr>
          <w:color w:val="538135" w:themeColor="accent6" w:themeShade="BF"/>
        </w:rPr>
        <w:t>G-protein linked receptor kinases (GRK)</w:t>
      </w:r>
      <w:r w:rsidRPr="003E4B23">
        <w:rPr>
          <w:color w:val="538135" w:themeColor="accent6" w:themeShade="BF"/>
        </w:rPr>
        <w:t xml:space="preserve"> that dephosphorylate</w:t>
      </w:r>
      <w:r w:rsidR="00074B98" w:rsidRPr="003E4B23">
        <w:rPr>
          <w:color w:val="538135" w:themeColor="accent6" w:themeShade="BF"/>
        </w:rPr>
        <w:t xml:space="preserve"> selected Ser/</w:t>
      </w:r>
      <w:proofErr w:type="spellStart"/>
      <w:r w:rsidR="00074B98" w:rsidRPr="003E4B23">
        <w:rPr>
          <w:color w:val="538135" w:themeColor="accent6" w:themeShade="BF"/>
        </w:rPr>
        <w:t>Thr</w:t>
      </w:r>
      <w:proofErr w:type="spellEnd"/>
      <w:r w:rsidR="00074B98" w:rsidRPr="003E4B23">
        <w:rPr>
          <w:color w:val="538135" w:themeColor="accent6" w:themeShade="BF"/>
        </w:rPr>
        <w:t xml:space="preserve"> residues </w:t>
      </w:r>
      <w:r w:rsidRPr="003E4B23">
        <w:rPr>
          <w:color w:val="538135" w:themeColor="accent6" w:themeShade="BF"/>
        </w:rPr>
        <w:t xml:space="preserve">on the receptor. This provides a docking site for </w:t>
      </w:r>
      <w:proofErr w:type="spellStart"/>
      <w:r w:rsidRPr="003E4B23">
        <w:rPr>
          <w:color w:val="538135" w:themeColor="accent6" w:themeShade="BF"/>
        </w:rPr>
        <w:t>arrestin</w:t>
      </w:r>
      <w:proofErr w:type="spellEnd"/>
      <w:r w:rsidRPr="003E4B23">
        <w:rPr>
          <w:color w:val="538135" w:themeColor="accent6" w:themeShade="BF"/>
        </w:rPr>
        <w:t xml:space="preserve"> that inactivates/desensitizes the GPCR. </w:t>
      </w:r>
    </w:p>
    <w:p w14:paraId="15A105F3" w14:textId="77777777" w:rsidR="009A0B45" w:rsidRPr="003E4B23" w:rsidRDefault="009A0B45" w:rsidP="001372B4">
      <w:pPr>
        <w:pStyle w:val="ListParagraph"/>
        <w:numPr>
          <w:ilvl w:val="0"/>
          <w:numId w:val="6"/>
        </w:numPr>
        <w:rPr>
          <w:color w:val="538135" w:themeColor="accent6" w:themeShade="BF"/>
        </w:rPr>
      </w:pPr>
      <w:r w:rsidRPr="003E4B23">
        <w:rPr>
          <w:color w:val="538135" w:themeColor="accent6" w:themeShade="BF"/>
        </w:rPr>
        <w:t xml:space="preserve">Binding of </w:t>
      </w:r>
      <w:proofErr w:type="spellStart"/>
      <w:r w:rsidRPr="003E4B23">
        <w:rPr>
          <w:color w:val="538135" w:themeColor="accent6" w:themeShade="BF"/>
        </w:rPr>
        <w:t>arrestin</w:t>
      </w:r>
      <w:proofErr w:type="spellEnd"/>
      <w:r w:rsidRPr="003E4B23">
        <w:rPr>
          <w:color w:val="538135" w:themeColor="accent6" w:themeShade="BF"/>
        </w:rPr>
        <w:t xml:space="preserve"> to such docking sites sometimes facilitates the internalization of GPCR through </w:t>
      </w:r>
      <w:proofErr w:type="spellStart"/>
      <w:r w:rsidRPr="003E4B23">
        <w:rPr>
          <w:color w:val="538135" w:themeColor="accent6" w:themeShade="BF"/>
        </w:rPr>
        <w:t>clathrin</w:t>
      </w:r>
      <w:proofErr w:type="spellEnd"/>
      <w:r w:rsidRPr="003E4B23">
        <w:rPr>
          <w:color w:val="538135" w:themeColor="accent6" w:themeShade="BF"/>
        </w:rPr>
        <w:t xml:space="preserve">-dependent endocytosis and prevents the hormone/neurotransmitter-receptor interaction on the cell surface. </w:t>
      </w:r>
    </w:p>
    <w:p w14:paraId="5D6E084D" w14:textId="77777777" w:rsidR="009A0B45" w:rsidRPr="003E4B23" w:rsidRDefault="003E4B23" w:rsidP="001372B4">
      <w:pPr>
        <w:pStyle w:val="ListParagraph"/>
        <w:numPr>
          <w:ilvl w:val="0"/>
          <w:numId w:val="6"/>
        </w:numPr>
        <w:rPr>
          <w:color w:val="538135" w:themeColor="accent6" w:themeShade="BF"/>
        </w:rPr>
      </w:pPr>
      <w:r w:rsidRPr="003E4B23">
        <w:rPr>
          <w:color w:val="538135" w:themeColor="accent6" w:themeShade="BF"/>
        </w:rPr>
        <w:t xml:space="preserve">If the cAMP concentrations increase due to the occupied GPCRs, activated downstream PKAs act on a negative feedback loop to phosphorylate the GPCR and leads to its inactivation/ desensitization. </w:t>
      </w:r>
    </w:p>
    <w:p w14:paraId="614167AF" w14:textId="77777777" w:rsidR="005F2644" w:rsidRDefault="005F2644" w:rsidP="005F2644"/>
    <w:p w14:paraId="25338C21" w14:textId="77777777" w:rsidR="005F2644" w:rsidRDefault="005F2644" w:rsidP="005F2644"/>
    <w:p w14:paraId="45938283" w14:textId="77777777" w:rsidR="005F2644" w:rsidRDefault="005F2644" w:rsidP="005F2644"/>
    <w:p w14:paraId="4702C217" w14:textId="77777777" w:rsidR="005F2644" w:rsidRDefault="005F2644" w:rsidP="005F2644"/>
    <w:p w14:paraId="4FDCD8C7" w14:textId="77777777" w:rsidR="005F2644" w:rsidRDefault="005F2644" w:rsidP="005F2644"/>
    <w:p w14:paraId="66751DC3" w14:textId="77777777" w:rsidR="005F2644" w:rsidRDefault="005F2644" w:rsidP="005F2644"/>
    <w:p w14:paraId="3603A904" w14:textId="77777777" w:rsidR="005F2644" w:rsidRDefault="005F2644" w:rsidP="005F2644"/>
    <w:p w14:paraId="4577DCDD" w14:textId="77777777" w:rsidR="003E4B23" w:rsidRDefault="005F2644" w:rsidP="00E754B4">
      <w:pPr>
        <w:pStyle w:val="ListParagraph"/>
        <w:numPr>
          <w:ilvl w:val="0"/>
          <w:numId w:val="1"/>
        </w:numPr>
      </w:pPr>
      <w:r>
        <w:lastRenderedPageBreak/>
        <w:t>What is the need for developing new drugs than beta-blockers for treating heart failure? (3 sentences)</w:t>
      </w:r>
      <w:r>
        <w:tab/>
      </w:r>
      <w:r>
        <w:tab/>
      </w:r>
      <w:r>
        <w:tab/>
      </w:r>
      <w:r>
        <w:tab/>
      </w:r>
      <w:r>
        <w:tab/>
      </w:r>
      <w:r>
        <w:tab/>
      </w:r>
      <w:r>
        <w:tab/>
      </w:r>
      <w:r>
        <w:tab/>
      </w:r>
      <w:r>
        <w:tab/>
      </w:r>
      <w:r w:rsidRPr="005F2644">
        <w:rPr>
          <w:b/>
        </w:rPr>
        <w:t>3 Marks</w:t>
      </w:r>
    </w:p>
    <w:p w14:paraId="2260DF08" w14:textId="77777777" w:rsidR="00E754B4" w:rsidRDefault="00E754B4" w:rsidP="00E754B4">
      <w:pPr>
        <w:pStyle w:val="ListParagraph"/>
        <w:ind w:left="709"/>
        <w:rPr>
          <w:color w:val="538135" w:themeColor="accent6" w:themeShade="BF"/>
        </w:rPr>
      </w:pPr>
    </w:p>
    <w:p w14:paraId="7958FA16" w14:textId="77777777" w:rsidR="00E754B4" w:rsidRPr="00E754B4" w:rsidRDefault="00B22488" w:rsidP="00E754B4">
      <w:pPr>
        <w:pStyle w:val="ListParagraph"/>
        <w:ind w:left="709"/>
        <w:rPr>
          <w:color w:val="538135" w:themeColor="accent6" w:themeShade="BF"/>
        </w:rPr>
      </w:pPr>
      <w:r w:rsidRPr="00E754B4">
        <w:rPr>
          <w:color w:val="538135" w:themeColor="accent6" w:themeShade="BF"/>
        </w:rPr>
        <w:t>Although b</w:t>
      </w:r>
      <w:r w:rsidR="003E4B23" w:rsidRPr="00E754B4">
        <w:rPr>
          <w:color w:val="538135" w:themeColor="accent6" w:themeShade="BF"/>
        </w:rPr>
        <w:t>eta-blockers are effective therapeutics for cardiomyopathy</w:t>
      </w:r>
      <w:r w:rsidRPr="00E754B4">
        <w:rPr>
          <w:color w:val="538135" w:themeColor="accent6" w:themeShade="BF"/>
        </w:rPr>
        <w:t xml:space="preserve">, </w:t>
      </w:r>
      <w:r w:rsidRPr="00E754B4">
        <w:rPr>
          <w:color w:val="538135" w:themeColor="accent6" w:themeShade="BF"/>
        </w:rPr>
        <w:t>they also display many off-target adverse events such as bronchospasm in asthma patients</w:t>
      </w:r>
      <w:r w:rsidRPr="00E754B4">
        <w:rPr>
          <w:color w:val="538135" w:themeColor="accent6" w:themeShade="BF"/>
        </w:rPr>
        <w:t xml:space="preserve">. </w:t>
      </w:r>
    </w:p>
    <w:p w14:paraId="657F296F" w14:textId="77777777" w:rsidR="00E754B4" w:rsidRPr="00E754B4" w:rsidRDefault="00B22488" w:rsidP="00E754B4">
      <w:pPr>
        <w:pStyle w:val="ListParagraph"/>
        <w:ind w:left="709"/>
        <w:rPr>
          <w:color w:val="538135" w:themeColor="accent6" w:themeShade="BF"/>
        </w:rPr>
      </w:pPr>
      <w:r w:rsidRPr="00E754B4">
        <w:rPr>
          <w:color w:val="538135" w:themeColor="accent6" w:themeShade="BF"/>
        </w:rPr>
        <w:t xml:space="preserve">As beta blockers administer their function through inhibiting the beta receptors on myocytes that are essential for cardiac contractility, </w:t>
      </w:r>
      <w:r w:rsidR="00E754B4" w:rsidRPr="00E754B4">
        <w:rPr>
          <w:color w:val="538135" w:themeColor="accent6" w:themeShade="BF"/>
        </w:rPr>
        <w:t>high dosages</w:t>
      </w:r>
      <w:r w:rsidRPr="00E754B4">
        <w:rPr>
          <w:color w:val="538135" w:themeColor="accent6" w:themeShade="BF"/>
        </w:rPr>
        <w:t xml:space="preserve"> of the drug may </w:t>
      </w:r>
      <w:r w:rsidR="00E754B4">
        <w:rPr>
          <w:color w:val="538135" w:themeColor="accent6" w:themeShade="BF"/>
        </w:rPr>
        <w:t xml:space="preserve">cause </w:t>
      </w:r>
      <w:bookmarkStart w:id="0" w:name="_GoBack"/>
      <w:bookmarkEnd w:id="0"/>
      <w:r w:rsidRPr="00E754B4">
        <w:rPr>
          <w:color w:val="538135" w:themeColor="accent6" w:themeShade="BF"/>
        </w:rPr>
        <w:t xml:space="preserve">for the patient’s heart to stop beating. </w:t>
      </w:r>
    </w:p>
    <w:p w14:paraId="5A656283" w14:textId="77777777" w:rsidR="003E4B23" w:rsidRPr="00E754B4" w:rsidRDefault="00B22488" w:rsidP="00E754B4">
      <w:pPr>
        <w:pStyle w:val="ListParagraph"/>
        <w:ind w:left="709"/>
        <w:rPr>
          <w:color w:val="538135" w:themeColor="accent6" w:themeShade="BF"/>
        </w:rPr>
      </w:pPr>
      <w:r w:rsidRPr="00E754B4">
        <w:rPr>
          <w:color w:val="538135" w:themeColor="accent6" w:themeShade="BF"/>
        </w:rPr>
        <w:t xml:space="preserve">Since determining a maximum tolerated dose for beta blockers is </w:t>
      </w:r>
      <w:r w:rsidR="00E754B4" w:rsidRPr="00E754B4">
        <w:rPr>
          <w:color w:val="538135" w:themeColor="accent6" w:themeShade="BF"/>
        </w:rPr>
        <w:t xml:space="preserve">also </w:t>
      </w:r>
      <w:r w:rsidRPr="00E754B4">
        <w:rPr>
          <w:color w:val="538135" w:themeColor="accent6" w:themeShade="BF"/>
        </w:rPr>
        <w:t xml:space="preserve">challenging, </w:t>
      </w:r>
      <w:r w:rsidR="00E754B4" w:rsidRPr="00E754B4">
        <w:rPr>
          <w:color w:val="538135" w:themeColor="accent6" w:themeShade="BF"/>
        </w:rPr>
        <w:t xml:space="preserve">exploring potential drugs that target the signaling pathway downstream of the beta receptors to prevent the recruitment of the proapoptotic BIM and inhibit the contribution of activated PKA pathway in cardiac contractility maybe a viable option. </w:t>
      </w:r>
    </w:p>
    <w:p w14:paraId="7E811799" w14:textId="77777777" w:rsidR="003E4B23" w:rsidRPr="003E4B23" w:rsidRDefault="00B22488" w:rsidP="003E4B23">
      <w:pPr>
        <w:ind w:firstLine="720"/>
      </w:pPr>
      <w:r>
        <w:t xml:space="preserve"> </w:t>
      </w:r>
    </w:p>
    <w:sectPr w:rsidR="003E4B23" w:rsidRPr="003E4B23" w:rsidSect="00140B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45507"/>
    <w:multiLevelType w:val="hybridMultilevel"/>
    <w:tmpl w:val="E7C8A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E0901"/>
    <w:multiLevelType w:val="hybridMultilevel"/>
    <w:tmpl w:val="545E2B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DBC48CF"/>
    <w:multiLevelType w:val="hybridMultilevel"/>
    <w:tmpl w:val="D376F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BF0E3F"/>
    <w:multiLevelType w:val="hybridMultilevel"/>
    <w:tmpl w:val="BB100F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870A30"/>
    <w:multiLevelType w:val="hybridMultilevel"/>
    <w:tmpl w:val="06F66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FB5055"/>
    <w:multiLevelType w:val="hybridMultilevel"/>
    <w:tmpl w:val="A4B43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92718"/>
    <w:multiLevelType w:val="hybridMultilevel"/>
    <w:tmpl w:val="A6DE405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78"/>
    <w:rsid w:val="00000472"/>
    <w:rsid w:val="0000163D"/>
    <w:rsid w:val="00001EDD"/>
    <w:rsid w:val="000065EF"/>
    <w:rsid w:val="00013411"/>
    <w:rsid w:val="00026407"/>
    <w:rsid w:val="0002788F"/>
    <w:rsid w:val="0003631C"/>
    <w:rsid w:val="00036D46"/>
    <w:rsid w:val="00047F5F"/>
    <w:rsid w:val="00054A7B"/>
    <w:rsid w:val="000650EF"/>
    <w:rsid w:val="00074B98"/>
    <w:rsid w:val="000763C5"/>
    <w:rsid w:val="00082FD8"/>
    <w:rsid w:val="00086AE8"/>
    <w:rsid w:val="00090448"/>
    <w:rsid w:val="00095D5D"/>
    <w:rsid w:val="000B388B"/>
    <w:rsid w:val="000C0054"/>
    <w:rsid w:val="000D32C4"/>
    <w:rsid w:val="000E2FB3"/>
    <w:rsid w:val="000F0CA3"/>
    <w:rsid w:val="000F551D"/>
    <w:rsid w:val="000F752D"/>
    <w:rsid w:val="00100ED2"/>
    <w:rsid w:val="00103237"/>
    <w:rsid w:val="001037A0"/>
    <w:rsid w:val="001071EF"/>
    <w:rsid w:val="00127C76"/>
    <w:rsid w:val="001372B4"/>
    <w:rsid w:val="00140BAD"/>
    <w:rsid w:val="001460D8"/>
    <w:rsid w:val="00152C0A"/>
    <w:rsid w:val="00154191"/>
    <w:rsid w:val="001560A2"/>
    <w:rsid w:val="0015714B"/>
    <w:rsid w:val="0016590D"/>
    <w:rsid w:val="00165AF0"/>
    <w:rsid w:val="00166A16"/>
    <w:rsid w:val="00172D7F"/>
    <w:rsid w:val="00174AA5"/>
    <w:rsid w:val="00177F21"/>
    <w:rsid w:val="0019317D"/>
    <w:rsid w:val="001970B0"/>
    <w:rsid w:val="001A212F"/>
    <w:rsid w:val="001A2FC8"/>
    <w:rsid w:val="001B4FEC"/>
    <w:rsid w:val="001B6249"/>
    <w:rsid w:val="001C1C11"/>
    <w:rsid w:val="001C223B"/>
    <w:rsid w:val="001F00FD"/>
    <w:rsid w:val="001F40BA"/>
    <w:rsid w:val="001F4368"/>
    <w:rsid w:val="00203B6B"/>
    <w:rsid w:val="00204A1A"/>
    <w:rsid w:val="002120BD"/>
    <w:rsid w:val="002409A0"/>
    <w:rsid w:val="00263F0A"/>
    <w:rsid w:val="00265509"/>
    <w:rsid w:val="00267011"/>
    <w:rsid w:val="0027053D"/>
    <w:rsid w:val="00272996"/>
    <w:rsid w:val="00285F16"/>
    <w:rsid w:val="002914A3"/>
    <w:rsid w:val="002A38BC"/>
    <w:rsid w:val="002C082C"/>
    <w:rsid w:val="002C41CE"/>
    <w:rsid w:val="002C42C3"/>
    <w:rsid w:val="002C44EF"/>
    <w:rsid w:val="002C583C"/>
    <w:rsid w:val="002C73A6"/>
    <w:rsid w:val="002D6F41"/>
    <w:rsid w:val="002D7177"/>
    <w:rsid w:val="002E6F17"/>
    <w:rsid w:val="002E6FD8"/>
    <w:rsid w:val="002F1EEB"/>
    <w:rsid w:val="002F6496"/>
    <w:rsid w:val="00303ABF"/>
    <w:rsid w:val="00306BC3"/>
    <w:rsid w:val="00312DCC"/>
    <w:rsid w:val="0032705B"/>
    <w:rsid w:val="00335725"/>
    <w:rsid w:val="0034012B"/>
    <w:rsid w:val="00351DC5"/>
    <w:rsid w:val="00363F1E"/>
    <w:rsid w:val="00366BB0"/>
    <w:rsid w:val="00380AF0"/>
    <w:rsid w:val="00383B56"/>
    <w:rsid w:val="00383C13"/>
    <w:rsid w:val="003855DC"/>
    <w:rsid w:val="0039072E"/>
    <w:rsid w:val="00393220"/>
    <w:rsid w:val="003A05FE"/>
    <w:rsid w:val="003A2920"/>
    <w:rsid w:val="003C6F3D"/>
    <w:rsid w:val="003E45F9"/>
    <w:rsid w:val="003E4B23"/>
    <w:rsid w:val="003E4D64"/>
    <w:rsid w:val="003E689E"/>
    <w:rsid w:val="00403716"/>
    <w:rsid w:val="004117E2"/>
    <w:rsid w:val="00435261"/>
    <w:rsid w:val="004414F9"/>
    <w:rsid w:val="00442480"/>
    <w:rsid w:val="00470A77"/>
    <w:rsid w:val="00470B63"/>
    <w:rsid w:val="00486E0E"/>
    <w:rsid w:val="00487A62"/>
    <w:rsid w:val="0049599C"/>
    <w:rsid w:val="004A1BA8"/>
    <w:rsid w:val="004B476E"/>
    <w:rsid w:val="004E2E22"/>
    <w:rsid w:val="004F0FD7"/>
    <w:rsid w:val="004F265E"/>
    <w:rsid w:val="005059DE"/>
    <w:rsid w:val="00512EDC"/>
    <w:rsid w:val="00521A4F"/>
    <w:rsid w:val="00535CC5"/>
    <w:rsid w:val="0054197E"/>
    <w:rsid w:val="00547C75"/>
    <w:rsid w:val="00555609"/>
    <w:rsid w:val="005761C1"/>
    <w:rsid w:val="00576D5D"/>
    <w:rsid w:val="00585839"/>
    <w:rsid w:val="00591129"/>
    <w:rsid w:val="005911F6"/>
    <w:rsid w:val="005A23EC"/>
    <w:rsid w:val="005C2450"/>
    <w:rsid w:val="005D4A36"/>
    <w:rsid w:val="005E1AAB"/>
    <w:rsid w:val="005E3DCE"/>
    <w:rsid w:val="005E4022"/>
    <w:rsid w:val="005F2644"/>
    <w:rsid w:val="00607088"/>
    <w:rsid w:val="0061052B"/>
    <w:rsid w:val="00611A04"/>
    <w:rsid w:val="0062453C"/>
    <w:rsid w:val="00637FD3"/>
    <w:rsid w:val="00643473"/>
    <w:rsid w:val="00643699"/>
    <w:rsid w:val="0065664F"/>
    <w:rsid w:val="00662453"/>
    <w:rsid w:val="006651C7"/>
    <w:rsid w:val="006820D5"/>
    <w:rsid w:val="00684064"/>
    <w:rsid w:val="006859DD"/>
    <w:rsid w:val="00696F33"/>
    <w:rsid w:val="006C2F81"/>
    <w:rsid w:val="006C73BB"/>
    <w:rsid w:val="006D0982"/>
    <w:rsid w:val="006E1579"/>
    <w:rsid w:val="006E2D30"/>
    <w:rsid w:val="006F4FD3"/>
    <w:rsid w:val="00707355"/>
    <w:rsid w:val="00710E61"/>
    <w:rsid w:val="00713FD5"/>
    <w:rsid w:val="00714159"/>
    <w:rsid w:val="00725819"/>
    <w:rsid w:val="00735777"/>
    <w:rsid w:val="00737AF0"/>
    <w:rsid w:val="00740BF4"/>
    <w:rsid w:val="0075288D"/>
    <w:rsid w:val="00753E87"/>
    <w:rsid w:val="0075561D"/>
    <w:rsid w:val="00761375"/>
    <w:rsid w:val="00767D5B"/>
    <w:rsid w:val="007873EC"/>
    <w:rsid w:val="00796A2B"/>
    <w:rsid w:val="007B480F"/>
    <w:rsid w:val="007B7CD9"/>
    <w:rsid w:val="007C4D09"/>
    <w:rsid w:val="007D5CB6"/>
    <w:rsid w:val="007E520D"/>
    <w:rsid w:val="008001E7"/>
    <w:rsid w:val="00851959"/>
    <w:rsid w:val="00870B1A"/>
    <w:rsid w:val="0087447C"/>
    <w:rsid w:val="008974F3"/>
    <w:rsid w:val="00897578"/>
    <w:rsid w:val="008A333C"/>
    <w:rsid w:val="008B142C"/>
    <w:rsid w:val="008D64DE"/>
    <w:rsid w:val="008E1F71"/>
    <w:rsid w:val="0090369A"/>
    <w:rsid w:val="00906A29"/>
    <w:rsid w:val="009126ED"/>
    <w:rsid w:val="00914FCE"/>
    <w:rsid w:val="0091564E"/>
    <w:rsid w:val="0093008A"/>
    <w:rsid w:val="009370A6"/>
    <w:rsid w:val="0094373C"/>
    <w:rsid w:val="0094527E"/>
    <w:rsid w:val="0096664C"/>
    <w:rsid w:val="0097630D"/>
    <w:rsid w:val="009807BD"/>
    <w:rsid w:val="00986782"/>
    <w:rsid w:val="00992F8C"/>
    <w:rsid w:val="00993B8B"/>
    <w:rsid w:val="0099630B"/>
    <w:rsid w:val="00996DB3"/>
    <w:rsid w:val="009972BB"/>
    <w:rsid w:val="009976E3"/>
    <w:rsid w:val="009A0B45"/>
    <w:rsid w:val="009A2914"/>
    <w:rsid w:val="009A29F0"/>
    <w:rsid w:val="009A5DF2"/>
    <w:rsid w:val="009B188C"/>
    <w:rsid w:val="009B3667"/>
    <w:rsid w:val="00A040FE"/>
    <w:rsid w:val="00A06593"/>
    <w:rsid w:val="00A14174"/>
    <w:rsid w:val="00A14D15"/>
    <w:rsid w:val="00A22B60"/>
    <w:rsid w:val="00A30FB1"/>
    <w:rsid w:val="00A31470"/>
    <w:rsid w:val="00A325D0"/>
    <w:rsid w:val="00A35C5F"/>
    <w:rsid w:val="00A36B4C"/>
    <w:rsid w:val="00A40A72"/>
    <w:rsid w:val="00A43CC1"/>
    <w:rsid w:val="00A44B0A"/>
    <w:rsid w:val="00A45523"/>
    <w:rsid w:val="00A51C64"/>
    <w:rsid w:val="00A546FF"/>
    <w:rsid w:val="00A61FA9"/>
    <w:rsid w:val="00AB3CCE"/>
    <w:rsid w:val="00AC40C3"/>
    <w:rsid w:val="00AC7434"/>
    <w:rsid w:val="00AE4868"/>
    <w:rsid w:val="00AF37A5"/>
    <w:rsid w:val="00AF453F"/>
    <w:rsid w:val="00B01AA8"/>
    <w:rsid w:val="00B03F74"/>
    <w:rsid w:val="00B143CF"/>
    <w:rsid w:val="00B22488"/>
    <w:rsid w:val="00B37F7E"/>
    <w:rsid w:val="00B43262"/>
    <w:rsid w:val="00B50FBE"/>
    <w:rsid w:val="00B5430D"/>
    <w:rsid w:val="00B5762C"/>
    <w:rsid w:val="00B66B8A"/>
    <w:rsid w:val="00B747AE"/>
    <w:rsid w:val="00B765B7"/>
    <w:rsid w:val="00B9796A"/>
    <w:rsid w:val="00BA7253"/>
    <w:rsid w:val="00BA74E4"/>
    <w:rsid w:val="00BA7E3A"/>
    <w:rsid w:val="00BB063F"/>
    <w:rsid w:val="00BB6C0B"/>
    <w:rsid w:val="00BB71C9"/>
    <w:rsid w:val="00BF024B"/>
    <w:rsid w:val="00C10DC9"/>
    <w:rsid w:val="00C24244"/>
    <w:rsid w:val="00C34937"/>
    <w:rsid w:val="00C42E71"/>
    <w:rsid w:val="00C4485F"/>
    <w:rsid w:val="00C535C0"/>
    <w:rsid w:val="00C53C16"/>
    <w:rsid w:val="00C639CF"/>
    <w:rsid w:val="00C6640D"/>
    <w:rsid w:val="00C745E0"/>
    <w:rsid w:val="00C913E3"/>
    <w:rsid w:val="00CA37C5"/>
    <w:rsid w:val="00CB5F9B"/>
    <w:rsid w:val="00CB7EDE"/>
    <w:rsid w:val="00CC0B1B"/>
    <w:rsid w:val="00CC2860"/>
    <w:rsid w:val="00CD4AE9"/>
    <w:rsid w:val="00CD626F"/>
    <w:rsid w:val="00CD7A26"/>
    <w:rsid w:val="00CE39AB"/>
    <w:rsid w:val="00CE5F1A"/>
    <w:rsid w:val="00D10C12"/>
    <w:rsid w:val="00D501AA"/>
    <w:rsid w:val="00D66142"/>
    <w:rsid w:val="00D70CA3"/>
    <w:rsid w:val="00D84DF9"/>
    <w:rsid w:val="00D8541D"/>
    <w:rsid w:val="00D946C0"/>
    <w:rsid w:val="00DA0DB5"/>
    <w:rsid w:val="00DD211F"/>
    <w:rsid w:val="00DD4460"/>
    <w:rsid w:val="00DD56BC"/>
    <w:rsid w:val="00DD7116"/>
    <w:rsid w:val="00DE3BF2"/>
    <w:rsid w:val="00DE45F6"/>
    <w:rsid w:val="00DF50BF"/>
    <w:rsid w:val="00DF51E1"/>
    <w:rsid w:val="00E03005"/>
    <w:rsid w:val="00E07F7B"/>
    <w:rsid w:val="00E11413"/>
    <w:rsid w:val="00E114D8"/>
    <w:rsid w:val="00E3615E"/>
    <w:rsid w:val="00E41CB7"/>
    <w:rsid w:val="00E51354"/>
    <w:rsid w:val="00E51D8D"/>
    <w:rsid w:val="00E548D1"/>
    <w:rsid w:val="00E63A33"/>
    <w:rsid w:val="00E73410"/>
    <w:rsid w:val="00E754B4"/>
    <w:rsid w:val="00E809F1"/>
    <w:rsid w:val="00E91B08"/>
    <w:rsid w:val="00E939EF"/>
    <w:rsid w:val="00E94C7E"/>
    <w:rsid w:val="00EA5ABC"/>
    <w:rsid w:val="00EB0261"/>
    <w:rsid w:val="00EC237A"/>
    <w:rsid w:val="00EC5CAC"/>
    <w:rsid w:val="00ED5FD2"/>
    <w:rsid w:val="00EF3779"/>
    <w:rsid w:val="00F047F3"/>
    <w:rsid w:val="00F15C92"/>
    <w:rsid w:val="00F2548F"/>
    <w:rsid w:val="00F2634B"/>
    <w:rsid w:val="00F37EC0"/>
    <w:rsid w:val="00F403C7"/>
    <w:rsid w:val="00F41C21"/>
    <w:rsid w:val="00F4629B"/>
    <w:rsid w:val="00F636D5"/>
    <w:rsid w:val="00F70846"/>
    <w:rsid w:val="00F77D28"/>
    <w:rsid w:val="00F816AF"/>
    <w:rsid w:val="00F85AEF"/>
    <w:rsid w:val="00F9507D"/>
    <w:rsid w:val="00FA2A7F"/>
    <w:rsid w:val="00FA5FBC"/>
    <w:rsid w:val="00FB0B40"/>
    <w:rsid w:val="00FB246A"/>
    <w:rsid w:val="00FB261F"/>
    <w:rsid w:val="00FB6017"/>
    <w:rsid w:val="00FD737C"/>
    <w:rsid w:val="00FE099F"/>
    <w:rsid w:val="00FF4C2A"/>
    <w:rsid w:val="00FF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1283"/>
  <w14:defaultImageDpi w14:val="32767"/>
  <w15:chartTrackingRefBased/>
  <w15:docId w15:val="{FA3EDB40-4DD7-D744-92BC-C95479DE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757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Buddhila Wickramasinghe</cp:lastModifiedBy>
  <cp:revision>2</cp:revision>
  <dcterms:created xsi:type="dcterms:W3CDTF">2019-10-19T02:51:00Z</dcterms:created>
  <dcterms:modified xsi:type="dcterms:W3CDTF">2019-10-19T02:51:00Z</dcterms:modified>
</cp:coreProperties>
</file>